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52" w:rsidRDefault="008F7752">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4A0"/>
      </w:tblPr>
      <w:tblGrid>
        <w:gridCol w:w="1559"/>
        <w:gridCol w:w="960"/>
        <w:gridCol w:w="945"/>
        <w:gridCol w:w="1485"/>
        <w:gridCol w:w="1170"/>
        <w:gridCol w:w="1095"/>
        <w:gridCol w:w="1155"/>
        <w:gridCol w:w="1250"/>
        <w:gridCol w:w="655"/>
      </w:tblGrid>
      <w:tr w:rsidR="008F7752">
        <w:trPr>
          <w:trHeight w:hRule="exact" w:val="500"/>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行政诉讼法课程教学大纲</w:t>
            </w:r>
          </w:p>
        </w:tc>
      </w:tr>
      <w:tr w:rsidR="008F7752">
        <w:trPr>
          <w:trHeight w:hRule="exact" w:val="480"/>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8F775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8F7752" w:rsidRDefault="00806564">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B40EC">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LAW3321</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32</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2.0</w:t>
            </w:r>
          </w:p>
        </w:tc>
      </w:tr>
      <w:tr w:rsidR="008F7752">
        <w:trPr>
          <w:trHeight w:val="57"/>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8F7752" w:rsidRDefault="00806564">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Name</w:t>
            </w:r>
            <w:r>
              <w:rPr>
                <w:rFonts w:ascii="微软雅黑" w:eastAsia="微软雅黑" w:hAnsi="Times New Roman" w:cs="微软雅黑"/>
                <w:sz w:val="18"/>
                <w:szCs w:val="18"/>
              </w:rPr>
              <w:t>)</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行政诉讼法</w:t>
            </w:r>
          </w:p>
        </w:tc>
      </w:tr>
      <w:tr w:rsidR="008F7752">
        <w:trPr>
          <w:trHeight w:val="57"/>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微软雅黑" w:eastAsia="微软雅黑" w:hAnsi="Times New Roman" w:cs="微软雅黑"/>
                <w:sz w:val="18"/>
                <w:szCs w:val="18"/>
              </w:rPr>
            </w:pP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)Administration Procedure Law</w:t>
            </w:r>
          </w:p>
        </w:tc>
      </w:tr>
      <w:tr w:rsidR="008F775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Type)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必修</w:t>
            </w:r>
          </w:p>
        </w:tc>
      </w:tr>
      <w:tr w:rsidR="008F775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(Target Audience)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法学主修专业本科生</w:t>
            </w:r>
          </w:p>
        </w:tc>
      </w:tr>
      <w:tr w:rsidR="008F775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(Language of </w:t>
            </w:r>
            <w:r>
              <w:rPr>
                <w:rFonts w:ascii="Times New Roman" w:eastAsia="微软雅黑" w:hAnsi="Times New Roman" w:cs="Times New Roman"/>
                <w:sz w:val="18"/>
                <w:szCs w:val="18"/>
              </w:rPr>
              <w:t>Instruction)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8F775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8F775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(Prerequisite)</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rPr>
                <w:rFonts w:ascii="Times New Roman" w:hAnsi="Times New Roman" w:cs="Times New Roman"/>
                <w:color w:val="auto"/>
              </w:rPr>
            </w:pPr>
            <w:r>
              <w:rPr>
                <w:rFonts w:ascii="Times New Roman" w:hAnsi="Times New Roman" w:cs="Times New Roman" w:hint="eastAsia"/>
                <w:color w:val="auto"/>
              </w:rPr>
              <w:t>行政法原理、民事诉讼法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(post)</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Times New Roman" w:hAnsi="Times New Roman" w:cs="Times New Roman"/>
                <w:color w:val="auto"/>
              </w:rPr>
            </w:pPr>
          </w:p>
        </w:tc>
      </w:tr>
      <w:tr w:rsidR="008F775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(Instructor)</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朱芒</w:t>
            </w:r>
            <w:proofErr w:type="gramEnd"/>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Webpage)</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Times New Roman" w:hAnsi="Times New Roman" w:cs="Times New Roman"/>
                <w:color w:val="auto"/>
              </w:rPr>
            </w:pPr>
          </w:p>
        </w:tc>
      </w:tr>
      <w:tr w:rsidR="008F775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rPr>
                <w:rFonts w:ascii="微软雅黑" w:eastAsia="微软雅黑" w:hAnsi="Times New Roman" w:cs="微软雅黑"/>
                <w:sz w:val="18"/>
                <w:szCs w:val="18"/>
              </w:rPr>
            </w:pPr>
            <w:r>
              <w:rPr>
                <w:rFonts w:ascii="微软雅黑" w:eastAsia="微软雅黑" w:hAnsi="Times New Roman" w:cs="微软雅黑" w:hint="eastAsia"/>
                <w:sz w:val="18"/>
                <w:szCs w:val="18"/>
              </w:rPr>
              <w:t>《行政诉讼法》课程是法学专业的必修课程之一。从行政诉讼的基本功能看，是通过对行政权力的监督，</w:t>
            </w:r>
            <w:proofErr w:type="gramStart"/>
            <w:r>
              <w:rPr>
                <w:rFonts w:ascii="微软雅黑" w:eastAsia="微软雅黑" w:hAnsi="Times New Roman" w:cs="微软雅黑" w:hint="eastAsia"/>
                <w:sz w:val="18"/>
                <w:szCs w:val="18"/>
              </w:rPr>
              <w:t>平衡公</w:t>
            </w:r>
            <w:proofErr w:type="gramEnd"/>
            <w:r>
              <w:rPr>
                <w:rFonts w:ascii="微软雅黑" w:eastAsia="微软雅黑" w:hAnsi="Times New Roman" w:cs="微软雅黑" w:hint="eastAsia"/>
                <w:sz w:val="18"/>
                <w:szCs w:val="18"/>
              </w:rPr>
              <w:t>权力与个人的合法权利，以控权为手段，最终实现行政法治化。通过本课程的学习，学生应了解我国目前行政诉讼的原理，掌握行政诉讼的基本要素，能够分析、处理简单的行政诉讼案件。同时，通过课堂实训巩固和进一步加深理解所学知识，培养应用其解决实际问题的能力，为以后工作打下坚实基础。</w:t>
            </w:r>
          </w:p>
        </w:tc>
      </w:tr>
      <w:tr w:rsidR="008F775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rPr>
                <w:rFonts w:ascii="微软雅黑" w:eastAsia="微软雅黑" w:hAnsi="Times New Roman" w:cs="微软雅黑"/>
                <w:sz w:val="18"/>
                <w:szCs w:val="18"/>
              </w:rPr>
            </w:pPr>
            <w:r>
              <w:rPr>
                <w:rFonts w:ascii="微软雅黑" w:eastAsia="微软雅黑" w:hAnsi="Times New Roman" w:cs="微软雅黑"/>
                <w:sz w:val="18"/>
                <w:szCs w:val="18"/>
              </w:rPr>
              <w:t>The Administrative Litigation Law is one of the</w:t>
            </w:r>
            <w:r>
              <w:rPr>
                <w:rFonts w:ascii="微软雅黑" w:eastAsia="微软雅黑" w:hAnsi="Times New Roman" w:cs="微软雅黑"/>
                <w:sz w:val="18"/>
                <w:szCs w:val="18"/>
              </w:rPr>
              <w:t xml:space="preserve"> compulsory courses for the law major. From the basic function of administrative litigation, it is through the supervision of administrative power, balancing the public power and the individual's legal rights, and taking control as a means to finally reali</w:t>
            </w:r>
            <w:r>
              <w:rPr>
                <w:rFonts w:ascii="微软雅黑" w:eastAsia="微软雅黑" w:hAnsi="Times New Roman" w:cs="微软雅黑"/>
                <w:sz w:val="18"/>
                <w:szCs w:val="18"/>
              </w:rPr>
              <w:t>ze the rule of law. Through the study of this course, students should understand the principles of current administrative litigation in China, master the basic elements of administrative litigation, and be able to analyze and handle simple administrative l</w:t>
            </w:r>
            <w:r>
              <w:rPr>
                <w:rFonts w:ascii="微软雅黑" w:eastAsia="微软雅黑" w:hAnsi="Times New Roman" w:cs="微软雅黑"/>
                <w:sz w:val="18"/>
                <w:szCs w:val="18"/>
              </w:rPr>
              <w:t xml:space="preserve">itigation cases. At the same time, through classroom training to consolidate and further deepen the understanding of the knowledge, to cultivate the ability to apply their practical problems, and lay a solid foundation for future work. </w:t>
            </w:r>
          </w:p>
        </w:tc>
      </w:tr>
      <w:tr w:rsidR="008F7752">
        <w:trPr>
          <w:trHeight w:val="57"/>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w:t>
            </w:r>
            <w:r>
              <w:rPr>
                <w:rFonts w:ascii="微软雅黑" w:eastAsia="微软雅黑" w:hAnsi="Times New Roman" w:cs="微软雅黑"/>
                <w:sz w:val="18"/>
                <w:szCs w:val="18"/>
              </w:rPr>
              <w:t>ectives and contents</w:t>
            </w:r>
            <w:r>
              <w:rPr>
                <w:rFonts w:ascii="微软雅黑" w:eastAsia="微软雅黑" w:hAnsi="Times New Roman" w:cs="微软雅黑" w:hint="eastAsia"/>
                <w:sz w:val="18"/>
                <w:szCs w:val="18"/>
              </w:rPr>
              <w:t>）</w:t>
            </w:r>
          </w:p>
        </w:tc>
      </w:tr>
      <w:tr w:rsidR="008F7752">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rPr>
                <w:rFonts w:ascii="Times New Roman" w:eastAsia="微软雅黑" w:hAnsi="Times New Roman" w:cs="Times New Roman"/>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学习了解行政诉讼法的基本原理、我国行政诉讼制度的基本规定及其运用</w:t>
            </w:r>
            <w:r>
              <w:rPr>
                <w:rFonts w:ascii="微软雅黑" w:eastAsia="微软雅黑" w:hAnsi="Times New Roman" w:cs="微软雅黑"/>
                <w:sz w:val="18"/>
                <w:szCs w:val="18"/>
              </w:rPr>
              <w:t xml:space="preserve"> </w:t>
            </w:r>
          </w:p>
          <w:p w:rsidR="008F7752" w:rsidRDefault="00806564">
            <w:pPr>
              <w:rPr>
                <w:rFonts w:ascii="Times New Roman" w:eastAsia="微软雅黑" w:hAnsi="Times New Roman" w:cs="Times New Roman"/>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理解行政诉讼的概念与特点，行政诉讼法的概念、范围和立法宗旨</w:t>
            </w:r>
            <w:r>
              <w:rPr>
                <w:rFonts w:ascii="微软雅黑" w:eastAsia="微软雅黑" w:hAnsi="Times New Roman" w:cs="微软雅黑"/>
                <w:sz w:val="18"/>
                <w:szCs w:val="18"/>
              </w:rPr>
              <w:t xml:space="preserve"> </w:t>
            </w:r>
          </w:p>
          <w:p w:rsidR="008F7752" w:rsidRDefault="00806564">
            <w:pPr>
              <w:rPr>
                <w:rFonts w:ascii="Times New Roman" w:eastAsia="微软雅黑" w:hAnsi="Times New Roman" w:cs="Times New Roman"/>
                <w:sz w:val="18"/>
                <w:szCs w:val="18"/>
              </w:rPr>
            </w:pPr>
            <w:r>
              <w:rPr>
                <w:rFonts w:ascii="微软雅黑" w:eastAsia="微软雅黑" w:hAnsi="Times New Roman" w:cs="微软雅黑"/>
                <w:sz w:val="18"/>
                <w:szCs w:val="18"/>
              </w:rPr>
              <w:t>3.</w:t>
            </w:r>
            <w:r>
              <w:rPr>
                <w:rFonts w:ascii="微软雅黑" w:eastAsia="微软雅黑" w:hAnsi="Times New Roman" w:cs="微软雅黑" w:hint="eastAsia"/>
                <w:sz w:val="18"/>
                <w:szCs w:val="18"/>
              </w:rPr>
              <w:t>行政诉讼法律关系，行政诉讼法学研究的对象、内容和研究方法</w:t>
            </w:r>
            <w:r>
              <w:rPr>
                <w:rFonts w:ascii="微软雅黑" w:eastAsia="微软雅黑" w:hAnsi="Times New Roman" w:cs="微软雅黑"/>
                <w:sz w:val="18"/>
                <w:szCs w:val="18"/>
              </w:rPr>
              <w:t xml:space="preserve"> </w:t>
            </w:r>
          </w:p>
          <w:p w:rsidR="008F7752" w:rsidRDefault="00806564">
            <w:pPr>
              <w:rPr>
                <w:rFonts w:ascii="Times New Roman" w:eastAsia="微软雅黑" w:hAnsi="Times New Roman" w:cs="Times New Roman"/>
                <w:sz w:val="18"/>
                <w:szCs w:val="18"/>
              </w:rPr>
            </w:pPr>
            <w:r>
              <w:rPr>
                <w:rFonts w:ascii="微软雅黑" w:eastAsia="微软雅黑" w:hAnsi="Times New Roman" w:cs="微软雅黑"/>
                <w:sz w:val="18"/>
                <w:szCs w:val="18"/>
              </w:rPr>
              <w:t>4.</w:t>
            </w:r>
            <w:r>
              <w:rPr>
                <w:rFonts w:ascii="微软雅黑" w:eastAsia="微软雅黑" w:hAnsi="Times New Roman" w:cs="微软雅黑" w:hint="eastAsia"/>
                <w:sz w:val="18"/>
                <w:szCs w:val="18"/>
              </w:rPr>
              <w:t>行政诉讼基本原则、行政诉讼受案范围、行政诉讼管辖、行政诉讼参加人、行政诉讼证据、行政诉讼的第一审程序、第二审程序、审判监督程序、行政诉讼的法律适用与裁判等知识。</w:t>
            </w:r>
            <w:r>
              <w:rPr>
                <w:rFonts w:ascii="微软雅黑" w:eastAsia="微软雅黑" w:hAnsi="Times New Roman" w:cs="微软雅黑"/>
                <w:sz w:val="18"/>
                <w:szCs w:val="18"/>
              </w:rPr>
              <w:t xml:space="preserve"> </w:t>
            </w:r>
          </w:p>
          <w:p w:rsidR="008F7752" w:rsidRDefault="00806564">
            <w:pPr>
              <w:rPr>
                <w:rFonts w:ascii="微软雅黑" w:eastAsia="微软雅黑" w:hAnsi="Times New Roman" w:cs="微软雅黑"/>
                <w:sz w:val="18"/>
                <w:szCs w:val="18"/>
              </w:rPr>
            </w:pPr>
            <w:r>
              <w:rPr>
                <w:rFonts w:ascii="微软雅黑" w:eastAsia="微软雅黑" w:hAnsi="Times New Roman" w:cs="微软雅黑"/>
                <w:sz w:val="18"/>
                <w:szCs w:val="18"/>
              </w:rPr>
              <w:t>5.</w:t>
            </w:r>
            <w:r>
              <w:rPr>
                <w:rFonts w:ascii="微软雅黑" w:eastAsia="微软雅黑" w:hAnsi="Times New Roman" w:cs="微软雅黑" w:hint="eastAsia"/>
                <w:sz w:val="18"/>
                <w:szCs w:val="18"/>
              </w:rPr>
              <w:t>由于行政诉讼法与行政法、民事诉讼法的联系不可分割，所以在学习的过程中，应将行政诉讼法的学习与行政法、民事诉讼法的学习密切地联系起来。</w:t>
            </w:r>
            <w:r>
              <w:rPr>
                <w:rFonts w:ascii="微软雅黑" w:eastAsia="微软雅黑" w:hAnsi="Times New Roman" w:cs="微软雅黑"/>
                <w:sz w:val="18"/>
                <w:szCs w:val="18"/>
              </w:rPr>
              <w:t xml:space="preserve"> </w:t>
            </w:r>
          </w:p>
        </w:tc>
      </w:tr>
      <w:tr w:rsidR="008F7752">
        <w:trPr>
          <w:trHeight w:hRule="exact" w:val="58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8F7752" w:rsidRDefault="00806564">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章节</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8F7752">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行政判决、裁定与决定</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行政判决、裁定与决定</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考察课堂表现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8F7752">
        <w:trPr>
          <w:trHeight w:hRule="exact" w:val="27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教学内容</w:t>
            </w:r>
            <w:r>
              <w:rPr>
                <w:rFonts w:ascii="微软雅黑" w:eastAsia="微软雅黑" w:hAnsi="Times New Roman" w:cs="微软雅黑"/>
                <w:sz w:val="18"/>
                <w:szCs w:val="18"/>
              </w:rPr>
              <w:t xml:space="preserve"> </w:t>
            </w:r>
          </w:p>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8F7752" w:rsidRDefault="00806564">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行政诉讼参加人</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法条学习、案例列举</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考察课堂表现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2,3,4</w:t>
            </w:r>
          </w:p>
        </w:tc>
      </w:tr>
      <w:tr w:rsidR="008F7752">
        <w:trPr>
          <w:trHeight w:hRule="exact" w:val="19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行政诉讼程序</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行政诉讼的第一审程序、第二审程序、审判监督程序、行政诉讼的法律适用与裁判等知识。</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考察课堂表现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正确理解党和国家的政策，正确制定和适用法律，为建设社会主义法治国家的治国方略，创造思想理论前提</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2,3,4</w:t>
            </w:r>
          </w:p>
        </w:tc>
      </w:tr>
      <w:tr w:rsidR="008F7752">
        <w:trPr>
          <w:trHeight w:hRule="exact" w:val="16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行政诉讼的法律适用</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学习了解行政诉讼法的基本原理、我国行政诉讼制度的基本规定及其运用</w:t>
            </w:r>
            <w:r>
              <w:rPr>
                <w:rFonts w:ascii="微软雅黑" w:eastAsia="微软雅黑" w:hAnsi="Times New Roman" w:cs="微软雅黑"/>
                <w:sz w:val="18"/>
                <w:szCs w:val="18"/>
              </w:rPr>
              <w:t>,</w:t>
            </w:r>
            <w:r>
              <w:rPr>
                <w:rFonts w:ascii="微软雅黑" w:eastAsia="微软雅黑" w:hAnsi="Times New Roman" w:cs="微软雅黑" w:hint="eastAsia"/>
                <w:sz w:val="18"/>
                <w:szCs w:val="18"/>
              </w:rPr>
              <w:t>理解行政诉讼的概念与特点，行政诉讼法的概念、范围和立法宗旨，行政诉讼法律关系，行政诉讼法学研究的对象</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考察课堂表现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2,3,4</w:t>
            </w:r>
          </w:p>
        </w:tc>
      </w:tr>
      <w:tr w:rsidR="008F7752">
        <w:trPr>
          <w:trHeight w:hRule="exact" w:val="16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行政诉讼的受案范围与管辖</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案例列举，激发学习兴趣，提问和方向引导，行政诉讼的受</w:t>
            </w:r>
            <w:bookmarkStart w:id="0" w:name="_GoBack"/>
            <w:bookmarkEnd w:id="0"/>
            <w:r>
              <w:rPr>
                <w:rFonts w:ascii="微软雅黑" w:eastAsia="微软雅黑" w:hAnsi="Times New Roman" w:cs="微软雅黑" w:hint="eastAsia"/>
                <w:sz w:val="18"/>
                <w:szCs w:val="18"/>
              </w:rPr>
              <w:t>案范围与管辖</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考察课堂表现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2,4</w:t>
            </w:r>
          </w:p>
        </w:tc>
      </w:tr>
      <w:tr w:rsidR="008F7752">
        <w:trPr>
          <w:trHeight w:hRule="exact" w:val="18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行政诉讼概述</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行政诉讼概要，基本概念，列举案例，激发学习兴趣</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考察课堂表现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2,5</w:t>
            </w:r>
          </w:p>
        </w:tc>
      </w:tr>
      <w:tr w:rsidR="008F7752">
        <w:trPr>
          <w:trHeight w:hRule="exact" w:val="204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8F7752" w:rsidRDefault="00806564">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行政诉讼证据</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行政诉讼证据的合理性和有效性分析</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考察课堂表现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正确理解党和国家的政策，正确制定和适用法律，为建设社会主义法治国家的治国方略，创造思想理论前提</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1,2,3,4,5</w:t>
            </w:r>
          </w:p>
        </w:tc>
      </w:tr>
      <w:tr w:rsidR="008F7752">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复习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理解行政诉讼的概念与特点，行政诉讼法的概念、范围和立法宗旨，行政诉讼法律关系</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布置作业，考试复习</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8F7752">
        <w:trPr>
          <w:trHeight w:hRule="exact" w:val="48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rPr>
                <w:rFonts w:ascii="微软雅黑" w:eastAsia="微软雅黑" w:hAnsi="Times New Roman" w:cs="微软雅黑"/>
                <w:sz w:val="18"/>
                <w:szCs w:val="18"/>
              </w:rPr>
            </w:pPr>
            <w:r>
              <w:rPr>
                <w:rFonts w:ascii="微软雅黑" w:eastAsia="微软雅黑" w:hAnsi="Times New Roman" w:cs="微软雅黑" w:hint="eastAsia"/>
                <w:sz w:val="18"/>
                <w:szCs w:val="18"/>
              </w:rPr>
              <w:t>（成绩构成）平时成绩</w:t>
            </w:r>
            <w:r>
              <w:rPr>
                <w:rFonts w:ascii="微软雅黑" w:eastAsia="微软雅黑" w:hAnsi="Times New Roman" w:cs="微软雅黑"/>
                <w:sz w:val="18"/>
                <w:szCs w:val="18"/>
              </w:rPr>
              <w:t>30</w:t>
            </w:r>
            <w:r>
              <w:rPr>
                <w:rFonts w:ascii="微软雅黑" w:eastAsia="微软雅黑" w:hAnsi="Times New Roman" w:cs="微软雅黑" w:hint="eastAsia"/>
                <w:sz w:val="18"/>
                <w:szCs w:val="18"/>
              </w:rPr>
              <w:t>分：平时作业，每次</w:t>
            </w:r>
            <w:r>
              <w:rPr>
                <w:rFonts w:ascii="微软雅黑" w:eastAsia="微软雅黑" w:hAnsi="Times New Roman" w:cs="微软雅黑"/>
                <w:sz w:val="18"/>
                <w:szCs w:val="18"/>
              </w:rPr>
              <w:t>5</w:t>
            </w:r>
            <w:r>
              <w:rPr>
                <w:rFonts w:ascii="微软雅黑" w:eastAsia="微软雅黑" w:hAnsi="Times New Roman" w:cs="微软雅黑" w:hint="eastAsia"/>
                <w:sz w:val="18"/>
                <w:szCs w:val="18"/>
              </w:rPr>
              <w:t>分，共</w:t>
            </w:r>
            <w:r>
              <w:rPr>
                <w:rFonts w:ascii="微软雅黑" w:eastAsia="微软雅黑" w:hAnsi="Times New Roman" w:cs="微软雅黑"/>
                <w:sz w:val="18"/>
                <w:szCs w:val="18"/>
              </w:rPr>
              <w:t>20</w:t>
            </w:r>
            <w:r>
              <w:rPr>
                <w:rFonts w:ascii="微软雅黑" w:eastAsia="微软雅黑" w:hAnsi="Times New Roman" w:cs="微软雅黑" w:hint="eastAsia"/>
                <w:sz w:val="18"/>
                <w:szCs w:val="18"/>
              </w:rPr>
              <w:t>分；课堂发言：</w:t>
            </w:r>
            <w:r>
              <w:rPr>
                <w:rFonts w:ascii="微软雅黑" w:eastAsia="微软雅黑" w:hAnsi="Times New Roman" w:cs="微软雅黑"/>
                <w:sz w:val="18"/>
                <w:szCs w:val="18"/>
              </w:rPr>
              <w:t>10</w:t>
            </w:r>
            <w:r>
              <w:rPr>
                <w:rFonts w:ascii="微软雅黑" w:eastAsia="微软雅黑" w:hAnsi="Times New Roman" w:cs="微软雅黑" w:hint="eastAsia"/>
                <w:sz w:val="18"/>
                <w:szCs w:val="18"/>
              </w:rPr>
              <w:t>分。期末考试：</w:t>
            </w:r>
            <w:r>
              <w:rPr>
                <w:rFonts w:ascii="微软雅黑" w:eastAsia="微软雅黑" w:hAnsi="Times New Roman" w:cs="微软雅黑"/>
                <w:sz w:val="18"/>
                <w:szCs w:val="18"/>
              </w:rPr>
              <w:t>70</w:t>
            </w:r>
            <w:r>
              <w:rPr>
                <w:rFonts w:ascii="微软雅黑" w:eastAsia="微软雅黑" w:hAnsi="Times New Roman" w:cs="微软雅黑" w:hint="eastAsia"/>
                <w:sz w:val="18"/>
                <w:szCs w:val="18"/>
              </w:rPr>
              <w:t>分。</w:t>
            </w:r>
          </w:p>
        </w:tc>
      </w:tr>
      <w:tr w:rsidR="008F7752">
        <w:trPr>
          <w:trHeight w:hRule="exact" w:val="3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教材或参考资料</w:t>
            </w:r>
          </w:p>
          <w:p w:rsidR="008F7752" w:rsidRDefault="00806564">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作者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出版日期</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版次</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书号</w:t>
            </w:r>
          </w:p>
        </w:tc>
      </w:tr>
      <w:tr w:rsidR="008F7752">
        <w:trPr>
          <w:trHeight w:hRule="exact" w:val="4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宋体" w:eastAsia="宋体" w:hAnsi="Times New Roman" w:cs="宋体"/>
                <w:sz w:val="18"/>
                <w:szCs w:val="18"/>
              </w:rPr>
            </w:pP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行政法与行政诉讼法学（第二版）</w:t>
            </w:r>
          </w:p>
        </w:tc>
        <w:tc>
          <w:tcPr>
            <w:tcW w:w="148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8F7752" w:rsidRDefault="00806564">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应松年、姜明安、马怀德</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高等教育出版社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Times New Roman" w:hAnsi="Times New Roman" w:cs="Times New Roman"/>
                <w:color w:val="auto"/>
              </w:rPr>
            </w:pP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right="20"/>
              <w:jc w:val="right"/>
              <w:rPr>
                <w:rFonts w:ascii="宋体" w:eastAsia="宋体" w:hAnsi="Times New Roman" w:cs="宋体"/>
                <w:sz w:val="18"/>
                <w:szCs w:val="18"/>
              </w:rPr>
            </w:pPr>
            <w:r>
              <w:rPr>
                <w:rFonts w:ascii="宋体" w:eastAsia="宋体" w:hAnsi="Times New Roman" w:cs="宋体"/>
                <w:sz w:val="18"/>
                <w:szCs w:val="18"/>
              </w:rPr>
              <w:t>1</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Times New Roman" w:hAnsi="Times New Roman" w:cs="Times New Roman"/>
                <w:color w:val="auto"/>
              </w:rPr>
            </w:pPr>
          </w:p>
        </w:tc>
      </w:tr>
      <w:tr w:rsidR="008F7752">
        <w:trPr>
          <w:trHeight w:hRule="exact" w:val="4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Times New Roman" w:hAnsi="Times New Roman" w:cs="Times New Roman"/>
                <w:color w:val="auto"/>
              </w:rPr>
            </w:pPr>
          </w:p>
        </w:tc>
      </w:tr>
      <w:tr w:rsidR="008F7752">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06564">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备注</w:t>
            </w:r>
            <w:r>
              <w:rPr>
                <w:rFonts w:ascii="微软雅黑" w:eastAsia="微软雅黑" w:hAnsi="Times New Roman" w:cs="微软雅黑"/>
                <w:sz w:val="18"/>
                <w:szCs w:val="18"/>
              </w:rPr>
              <w:t>(Notes)</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8F7752" w:rsidRDefault="008F7752">
            <w:pPr>
              <w:rPr>
                <w:rFonts w:ascii="Times New Roman" w:hAnsi="Times New Roman" w:cs="Times New Roman"/>
                <w:color w:val="auto"/>
              </w:rPr>
            </w:pPr>
          </w:p>
        </w:tc>
      </w:tr>
    </w:tbl>
    <w:p w:rsidR="008F7752" w:rsidRDefault="008F7752">
      <w:pPr>
        <w:rPr>
          <w:rFonts w:ascii="Times New Roman" w:hAnsi="Times New Roman" w:cs="Times New Roman"/>
          <w:color w:val="auto"/>
          <w:sz w:val="2"/>
          <w:szCs w:val="2"/>
        </w:rPr>
      </w:pPr>
    </w:p>
    <w:sectPr w:rsidR="008F7752" w:rsidSect="008F7752">
      <w:pgSz w:w="11905" w:h="18708"/>
      <w:pgMar w:top="728" w:right="683" w:bottom="728" w:left="68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564" w:rsidRDefault="00806564" w:rsidP="008B40EC">
      <w:r>
        <w:separator/>
      </w:r>
    </w:p>
  </w:endnote>
  <w:endnote w:type="continuationSeparator" w:id="0">
    <w:p w:rsidR="00806564" w:rsidRDefault="00806564" w:rsidP="008B40E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default"/>
    <w:sig w:usb0="00000000" w:usb1="00000000" w:usb2="00000016" w:usb3="00000000" w:csb0="0004000F" w:csb1="00000000"/>
  </w:font>
  <w:font w:name="微软雅黑">
    <w:altName w:val="汉仪旗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564" w:rsidRDefault="00806564" w:rsidP="008B40EC">
      <w:r>
        <w:separator/>
      </w:r>
    </w:p>
  </w:footnote>
  <w:footnote w:type="continuationSeparator" w:id="0">
    <w:p w:rsidR="00806564" w:rsidRDefault="00806564" w:rsidP="008B40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EA4618"/>
    <w:rsid w:val="EEE4DB6D"/>
    <w:rsid w:val="000D50B8"/>
    <w:rsid w:val="001A578F"/>
    <w:rsid w:val="00806564"/>
    <w:rsid w:val="008B40EC"/>
    <w:rsid w:val="008F7752"/>
    <w:rsid w:val="00B07CF2"/>
    <w:rsid w:val="00D42DB4"/>
    <w:rsid w:val="00D63FB3"/>
    <w:rsid w:val="00EA4618"/>
    <w:rsid w:val="33D3F3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8F7752"/>
    <w:pPr>
      <w:widowControl w:val="0"/>
      <w:autoSpaceDE w:val="0"/>
      <w:autoSpaceDN w:val="0"/>
      <w:adjustRightInd w:val="0"/>
    </w:pPr>
    <w:rPr>
      <w:rFonts w:ascii="Arial" w:hAnsi="Arial" w:cs="Arial"/>
      <w:color w:val="000000"/>
      <w:sz w:val="24"/>
      <w:szCs w:val="24"/>
    </w:rPr>
  </w:style>
  <w:style w:type="paragraph" w:styleId="1">
    <w:name w:val="heading 1"/>
    <w:basedOn w:val="a"/>
    <w:next w:val="a"/>
    <w:link w:val="1Char"/>
    <w:uiPriority w:val="9"/>
    <w:qFormat/>
    <w:rsid w:val="008F7752"/>
    <w:pPr>
      <w:outlineLvl w:val="0"/>
    </w:pPr>
    <w:rPr>
      <w:b/>
      <w:bCs/>
      <w:sz w:val="32"/>
      <w:szCs w:val="32"/>
    </w:rPr>
  </w:style>
  <w:style w:type="paragraph" w:styleId="2">
    <w:name w:val="heading 2"/>
    <w:basedOn w:val="a"/>
    <w:next w:val="a"/>
    <w:link w:val="2Char"/>
    <w:uiPriority w:val="99"/>
    <w:qFormat/>
    <w:rsid w:val="008F7752"/>
    <w:pPr>
      <w:outlineLvl w:val="1"/>
    </w:pPr>
    <w:rPr>
      <w:b/>
      <w:bCs/>
      <w:i/>
      <w:iCs/>
      <w:sz w:val="28"/>
      <w:szCs w:val="28"/>
    </w:rPr>
  </w:style>
  <w:style w:type="paragraph" w:styleId="3">
    <w:name w:val="heading 3"/>
    <w:basedOn w:val="a"/>
    <w:next w:val="a"/>
    <w:link w:val="3Char"/>
    <w:uiPriority w:val="99"/>
    <w:qFormat/>
    <w:rsid w:val="008F7752"/>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F7752"/>
    <w:rPr>
      <w:b/>
      <w:bCs/>
      <w:kern w:val="44"/>
      <w:sz w:val="44"/>
      <w:szCs w:val="44"/>
    </w:rPr>
  </w:style>
  <w:style w:type="character" w:customStyle="1" w:styleId="2Char">
    <w:name w:val="标题 2 Char"/>
    <w:basedOn w:val="a0"/>
    <w:link w:val="2"/>
    <w:uiPriority w:val="9"/>
    <w:semiHidden/>
    <w:qFormat/>
    <w:rsid w:val="008F7752"/>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8F7752"/>
    <w:rPr>
      <w:b/>
      <w:bCs/>
      <w:sz w:val="32"/>
      <w:szCs w:val="32"/>
    </w:rPr>
  </w:style>
  <w:style w:type="paragraph" w:styleId="a3">
    <w:name w:val="header"/>
    <w:basedOn w:val="a"/>
    <w:link w:val="Char"/>
    <w:uiPriority w:val="99"/>
    <w:semiHidden/>
    <w:unhideWhenUsed/>
    <w:rsid w:val="008B40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40EC"/>
    <w:rPr>
      <w:rFonts w:ascii="Arial" w:hAnsi="Arial" w:cs="Arial"/>
      <w:color w:val="000000"/>
      <w:sz w:val="18"/>
      <w:szCs w:val="18"/>
    </w:rPr>
  </w:style>
  <w:style w:type="paragraph" w:styleId="a4">
    <w:name w:val="footer"/>
    <w:basedOn w:val="a"/>
    <w:link w:val="Char0"/>
    <w:uiPriority w:val="99"/>
    <w:semiHidden/>
    <w:unhideWhenUsed/>
    <w:rsid w:val="008B40EC"/>
    <w:pPr>
      <w:tabs>
        <w:tab w:val="center" w:pos="4153"/>
        <w:tab w:val="right" w:pos="8306"/>
      </w:tabs>
      <w:snapToGrid w:val="0"/>
    </w:pPr>
    <w:rPr>
      <w:sz w:val="18"/>
      <w:szCs w:val="18"/>
    </w:rPr>
  </w:style>
  <w:style w:type="character" w:customStyle="1" w:styleId="Char0">
    <w:name w:val="页脚 Char"/>
    <w:basedOn w:val="a0"/>
    <w:link w:val="a4"/>
    <w:uiPriority w:val="99"/>
    <w:semiHidden/>
    <w:rsid w:val="008B40EC"/>
    <w:rPr>
      <w:rFonts w:ascii="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2023-03-28T01:15:00Z</dcterms:created>
  <dcterms:modified xsi:type="dcterms:W3CDTF">2023-03-28T01:15:00Z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