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DD" w:rsidRDefault="00170F9B" w:rsidP="00355CBE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ascii="Times New Roman" w:hAnsi="Times New Roman" w:cs="Times New Roman" w:hint="eastAsia"/>
          <w:b/>
          <w:sz w:val="32"/>
          <w:szCs w:val="32"/>
          <w:lang/>
        </w:rPr>
        <w:t>比较文学研究项目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5566DD" w:rsidRDefault="005566DD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1213"/>
        <w:gridCol w:w="784"/>
        <w:gridCol w:w="940"/>
      </w:tblGrid>
      <w:tr w:rsidR="005566DD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Style w:val="font71"/>
                <w:rFonts w:asciiTheme="minorEastAsia" w:eastAsiaTheme="minorEastAsia" w:hAnsiTheme="minorEastAsia" w:cstheme="minorEastAsia" w:hint="eastAsia"/>
                <w:lang/>
              </w:rPr>
              <w:t>课程基本信息（</w:t>
            </w:r>
            <w:r>
              <w:rPr>
                <w:rStyle w:val="font91"/>
                <w:rFonts w:asciiTheme="minorEastAsia" w:hAnsiTheme="minorEastAsia" w:cstheme="minorEastAsia" w:hint="eastAsia"/>
                <w:lang/>
              </w:rPr>
              <w:t>Course Information</w:t>
            </w:r>
            <w:r>
              <w:rPr>
                <w:rStyle w:val="font71"/>
                <w:rFonts w:asciiTheme="minorEastAsia" w:eastAsiaTheme="minorEastAsia" w:hAnsiTheme="minorEastAsia" w:cstheme="minorEastAsia" w:hint="eastAsia"/>
                <w:lang/>
              </w:rPr>
              <w:t>）</w:t>
            </w:r>
          </w:p>
        </w:tc>
      </w:tr>
      <w:tr w:rsidR="005566DD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Course Code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355CBE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FL4332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学时（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Credit Hours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学分（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Credits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</w:tr>
      <w:tr w:rsidR="005566DD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课程名称（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Course Name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（中文）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比较文学研究</w:t>
            </w:r>
          </w:p>
        </w:tc>
      </w:tr>
      <w:tr w:rsidR="005566DD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Comparative Literature Studies</w:t>
            </w:r>
          </w:p>
        </w:tc>
      </w:tr>
      <w:tr w:rsidR="005566DD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6A6A6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专业方向课</w:t>
            </w:r>
          </w:p>
        </w:tc>
      </w:tr>
      <w:tr w:rsidR="005566DD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Target Audience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6A6A6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四</w:t>
            </w: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年级本科生</w:t>
            </w:r>
          </w:p>
        </w:tc>
      </w:tr>
      <w:tr w:rsidR="005566DD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6A6A6"/>
                <w:sz w:val="18"/>
                <w:szCs w:val="18"/>
                <w:lang/>
              </w:rPr>
            </w:pPr>
            <w:r>
              <w:rPr>
                <w:rStyle w:val="font31"/>
                <w:rFonts w:asciiTheme="minorEastAsia" w:eastAsiaTheme="minorEastAsia" w:hAnsiTheme="minorEastAsia" w:cstheme="minorEastAsia"/>
                <w:lang/>
              </w:rPr>
              <w:t>中英双语</w:t>
            </w:r>
          </w:p>
        </w:tc>
      </w:tr>
      <w:tr w:rsidR="005566DD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开课院系（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School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外国语学院</w:t>
            </w:r>
          </w:p>
        </w:tc>
      </w:tr>
      <w:tr w:rsidR="005566DD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Prerequisite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br/>
              <w:t>(post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5566DD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课程负责人（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Instructor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5566DD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课程简介（中文）（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Description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300-500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字，含课程性质、主要教学内容、课程教学目标等）</w:t>
            </w:r>
          </w:p>
          <w:p w:rsidR="005566DD" w:rsidRDefault="00170F9B">
            <w:pPr>
              <w:spacing w:line="360" w:lineRule="atLeast"/>
              <w:ind w:firstLineChars="200" w:firstLine="360"/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本课程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为比较文学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研究方法介绍及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相关的研究项目实践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。课程将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重点关注不同比较文学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研究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流派的研究方法、理论和实践，如影响研究、平行研究、跨学科研究以及全球化视域下的比较文学研究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等。在具体的教学实践中，课程将通过引导学生对所选材料的批判性阅读和讨论，培养学生的批判性思维和问题意识。同时，本课程还将阐释中国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的比较文学研究对世界比较文学发展的贡献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，帮助学生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增强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文化自信。</w:t>
            </w:r>
          </w:p>
          <w:p w:rsidR="005566DD" w:rsidRDefault="00170F9B">
            <w:pPr>
              <w:spacing w:line="360" w:lineRule="atLeast"/>
              <w:ind w:firstLineChars="200" w:firstLine="360"/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在整个培养方案中，本课程将有助于学生了解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比较文学研究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概况、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比较文学研究方法以及比较文学研究的相关理论与实践等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，拓宽学生的研究视野，提升学生的专业素养。</w:t>
            </w:r>
          </w:p>
        </w:tc>
      </w:tr>
      <w:tr w:rsidR="005566DD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课程简介（英文）（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Description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300-500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字）</w:t>
            </w:r>
          </w:p>
          <w:p w:rsidR="005566DD" w:rsidRDefault="00170F9B">
            <w:pPr>
              <w:spacing w:line="360" w:lineRule="atLeast"/>
              <w:ind w:firstLineChars="200" w:firstLine="360"/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This course introduces students to the practice of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comparative literature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studies. It begins with an overview of the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 xml:space="preserve">definition, research hypothesis and 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history of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comparative literature studies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. The course then focuses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on introducing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 xml:space="preserve">the theory and </w:t>
            </w:r>
            <w:proofErr w:type="spellStart"/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pratice</w:t>
            </w:r>
            <w:proofErr w:type="spellEnd"/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 xml:space="preserve"> of the main trends of comparative literature studies, namely, influence studies, parallel analyses, interdisciplinary studies and comparative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lastRenderedPageBreak/>
              <w:t>literature studies in the context of globalization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. In each seminar,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professors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will lead students to read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and analyze the required reading materials, so as to improve </w:t>
            </w:r>
            <w:proofErr w:type="spellStart"/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students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’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ability</w:t>
            </w:r>
            <w:proofErr w:type="spellEnd"/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of critical thinking. Meanwhile, this course will discuss the role of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China’s comparative literary studies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in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advancing the scholarship of world comparative literature studies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, 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a practice which is useful to strengthen the national confidence.</w:t>
            </w:r>
          </w:p>
          <w:p w:rsidR="005566DD" w:rsidRDefault="00170F9B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This is a compulsory course for students majored in comparative literature. This course is designed to provide students with general knowledge in </w:t>
            </w:r>
            <w:r>
              <w:rPr>
                <w:rStyle w:val="font31"/>
                <w:rFonts w:asciiTheme="minorEastAsia" w:hAnsiTheme="minorEastAsia" w:cstheme="minorEastAsia" w:hint="default"/>
                <w:lang/>
              </w:rPr>
              <w:t>comparative literature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studies and train </w:t>
            </w:r>
            <w:proofErr w:type="spellStart"/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stu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dents’ability</w:t>
            </w:r>
            <w:proofErr w:type="spellEnd"/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to do literary research.</w:t>
            </w:r>
          </w:p>
        </w:tc>
      </w:tr>
      <w:tr w:rsidR="005566DD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Style w:val="font71"/>
                <w:rFonts w:asciiTheme="minorEastAsia" w:eastAsiaTheme="minorEastAsia" w:hAnsiTheme="minorEastAsia" w:cstheme="minorEastAsia" w:hint="eastAsia"/>
                <w:lang/>
              </w:rPr>
              <w:lastRenderedPageBreak/>
              <w:t>课程目标与内容（</w:t>
            </w:r>
            <w:r>
              <w:rPr>
                <w:rStyle w:val="font91"/>
                <w:rFonts w:asciiTheme="minorEastAsia" w:hAnsiTheme="minorEastAsia" w:cstheme="minorEastAsia" w:hint="eastAsia"/>
                <w:lang/>
              </w:rPr>
              <w:t>Course objectives and contents</w:t>
            </w:r>
            <w:r>
              <w:rPr>
                <w:rStyle w:val="font71"/>
                <w:rFonts w:asciiTheme="minorEastAsia" w:eastAsiaTheme="minorEastAsia" w:hAnsiTheme="minorEastAsia" w:cstheme="minorEastAsia" w:hint="eastAsia"/>
                <w:lang/>
              </w:rPr>
              <w:t>）</w:t>
            </w:r>
          </w:p>
        </w:tc>
      </w:tr>
      <w:tr w:rsidR="005566DD">
        <w:trPr>
          <w:trHeight w:val="330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课程目标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spacing w:line="320" w:lineRule="atLeas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了解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比较文学研究的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概况、重要理论假设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与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研究方法；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(A3, B1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  <w:t>)</w:t>
            </w:r>
          </w:p>
          <w:p w:rsidR="005566DD" w:rsidRDefault="00170F9B">
            <w:pPr>
              <w:widowControl/>
              <w:spacing w:line="320" w:lineRule="atLeas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了解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不同比较文学研究流派的理论基础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、案例及其背后的政治文化逻辑；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(B3, B4)</w:t>
            </w:r>
          </w:p>
          <w:p w:rsidR="005566DD" w:rsidRDefault="00170F9B">
            <w:pPr>
              <w:widowControl/>
              <w:spacing w:line="320" w:lineRule="atLeas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认识到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比较文学研究在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文学作品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的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全球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流通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以及世界文学共同体形成过程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中的作用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。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 xml:space="preserve">(A5, </w:t>
            </w:r>
            <w:bookmarkStart w:id="0" w:name="_GoBack"/>
            <w:bookmarkEnd w:id="0"/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C1)</w:t>
            </w:r>
          </w:p>
        </w:tc>
      </w:tr>
      <w:tr w:rsidR="005566DD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教学内容进度安排及对应课程目标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(Class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 xml:space="preserve">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时间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1-2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比较文学研究的概念与主要研究假设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讲授与提问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阅读王宁：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《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比较文学：理论思考与文学阐释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》、曹顺庆主编：《比较文学概论》、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Susan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Bassnett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: . 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  <w:lang/>
              </w:rPr>
              <w:t>Comparative Literature: A Critical Introduction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. </w:t>
            </w:r>
          </w:p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让学生从中国的视角了解比较文学的概念和方法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3-4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中西比较文学研究的起源与历史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讲授与提问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阅读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曹顺庆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《比较文学：东方与西方》、乐黛云：《比较文学与中国现代文学》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了解中西比较文学的历史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1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5-6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比较文学影响研究的主要理论与方法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讲授与讨论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阅读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孙景尧、邓艳艳和曾新：《西方比较文学要著研读》、张隆溪：《从比较文学到世界文学》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明白比较文学影响研究的方法及其背后的文化政治逻辑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1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7-8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比较文学影响研究的案例分析与实践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讲授与讨论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阅读吕超：《西方比较文学与文学理论名篇选读与实践》、王宁：《二十世纪西方文学比较研究：王宁文化学术批评文选》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学会进行比较文学的影响研究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9-10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比较文学平行研究的主要理论与方法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讲授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与讨论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阅读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Bassnett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, Susan. Comparative Literature: 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</w:rPr>
              <w:t>A Critical Introduction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、孙景尧、邓艳艳和曾新：《西方比较文学要著研读》</w:t>
            </w:r>
          </w:p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理解平行研究对中国文学走向世界的重要意义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11-12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比较文学平行研究的案例分析与实践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讲授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与讨论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阅读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Cesar Dominguez, 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Haun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Saussy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, Dario Villanueva: 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  <w:lang/>
              </w:rPr>
              <w:t>Introducing Comparative Literature: New Trends and Applications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  <w:lang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吕超：《西方比较文学与文学理论名篇选读与实践》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 </w:t>
            </w:r>
          </w:p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学会进行比较文学平行研究的方法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13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比较文学跨学科研究的主要理论与方法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教师讲授与讨论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阅读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蒋述卓：《跨学科视域中的比较文学》、高旭东：《跨学科研究》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理解比较文学跨学科研究的主要理论基础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14-15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比较文学跨学科研究的案例分析与实践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讲授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与讨论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阅读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Cesar Dominguez, 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Haun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Saussy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, Dario Villanueva: 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  <w:lang/>
              </w:rPr>
              <w:t>Introducing Comparative Literature: New Trends and Application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、卢婕：《比较文学研究范式实践》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学会进行比较文学跨学科研究的方法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5566D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16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全球化视域下的比较文学研究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教师讨论与提问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Haun</w:t>
            </w:r>
            <w:proofErr w:type="spell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Saussy</w:t>
            </w:r>
            <w:proofErr w:type="spellEnd"/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,  ed</w:t>
            </w:r>
            <w:proofErr w:type="gram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. 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 xml:space="preserve">Comparative Literature in an Age of Globalization;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Charles Bernheimer,  ed. </w:t>
            </w:r>
            <w:r>
              <w:rPr>
                <w:rFonts w:asciiTheme="minorEastAsia" w:hAnsiTheme="minorEastAsia" w:cstheme="minorEastAsia" w:hint="eastAsia"/>
                <w:i/>
                <w:sz w:val="18"/>
                <w:szCs w:val="18"/>
              </w:rPr>
              <w:t>Comparative Literature in the Age of Multiculturalism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明白全球化为中国比较文学研究走向世界的机遇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5566DD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5566DD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Theme="minorEastAsia" w:eastAsiaTheme="minorEastAsia" w:hAnsiTheme="minorEastAsia" w:cstheme="minorEastAsia" w:hint="default"/>
                <w:lang/>
              </w:rPr>
              <w:t>考核方式</w:t>
            </w:r>
            <w:r>
              <w:rPr>
                <w:rStyle w:val="font01"/>
                <w:rFonts w:asciiTheme="minorEastAsia" w:hAnsiTheme="minorEastAsia" w:cstheme="minorEastAsia" w:hint="eastAsia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平时考核：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分；</w:t>
            </w:r>
          </w:p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期末论文：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分；</w:t>
            </w:r>
          </w:p>
        </w:tc>
      </w:tr>
      <w:tr w:rsidR="005566DD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教材或参考资料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曹顺庆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主编：《比较文学概论》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，北京：高等教育出版社，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2015.</w:t>
            </w:r>
          </w:p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吕超：《西方比较文学与文学理论名篇选读与实践》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，天津：南开大学出版社，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2018.</w:t>
            </w:r>
          </w:p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王宁：比较文学：理论思考与文学阐释，上海：复旦大学出版社，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2011.</w:t>
            </w:r>
          </w:p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Bassnett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, Susan. 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</w:rPr>
              <w:t>Comparative Literature: A Critical Introduction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. Oxford UK &amp; Cambridge USA: </w:t>
            </w:r>
          </w:p>
          <w:p w:rsidR="005566DD" w:rsidRDefault="00170F9B">
            <w:pPr>
              <w:widowControl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lastRenderedPageBreak/>
              <w:t>Blackwell, 1993.</w:t>
            </w:r>
          </w:p>
          <w:p w:rsidR="005566DD" w:rsidRDefault="00170F9B">
            <w:pPr>
              <w:widowControl/>
              <w:ind w:left="360" w:hangingChars="200" w:hanging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Bernheimer, Charles ed. 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</w:rPr>
              <w:t>Comparative Literature in the Age of Multiculturalism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. Baltimore and London: The Johns Hopkins University Press, 1995.</w:t>
            </w:r>
          </w:p>
          <w:p w:rsidR="005566DD" w:rsidRDefault="00170F9B">
            <w:pPr>
              <w:widowControl/>
              <w:ind w:left="360" w:hangingChars="200" w:hanging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Dominguez, Cesar,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Haun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Saussy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, Dario Villanueva. 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</w:rPr>
              <w:t>Introducing Comparative Literature: New Trends and Applications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 London: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Routledge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, 2014.</w:t>
            </w:r>
          </w:p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Saussy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Haun</w:t>
            </w:r>
            <w:proofErr w:type="spell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 ed. </w:t>
            </w:r>
            <w:r>
              <w:rPr>
                <w:rFonts w:asciiTheme="minorEastAsia" w:hAnsiTheme="minorEastAsia" w:cstheme="minorEastAsia" w:hint="eastAsia"/>
                <w:i/>
                <w:iCs/>
                <w:color w:val="000000"/>
                <w:sz w:val="18"/>
                <w:szCs w:val="18"/>
              </w:rPr>
              <w:t>Comparative Literature in an Age of Globalization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. Baltimore and London: The 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 xml:space="preserve">  </w:t>
            </w:r>
          </w:p>
          <w:p w:rsidR="005566DD" w:rsidRDefault="00170F9B">
            <w:pPr>
              <w:widowControl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Johns Hopkins University Press, 2005.</w:t>
            </w:r>
          </w:p>
          <w:p w:rsidR="005566DD" w:rsidRDefault="005566D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5566DD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其它（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More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5566DD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Notes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5566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5566DD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66DD" w:rsidRDefault="00170F9B">
            <w:pPr>
              <w:widowControl/>
              <w:jc w:val="left"/>
              <w:textAlignment w:val="center"/>
              <w:rPr>
                <w:rStyle w:val="font21"/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5566DD" w:rsidRDefault="00170F9B">
            <w:pPr>
              <w:widowControl/>
              <w:jc w:val="left"/>
              <w:textAlignment w:val="center"/>
              <w:rPr>
                <w:rStyle w:val="font21"/>
                <w:rFonts w:asciiTheme="minorEastAsia" w:hAnsiTheme="minorEastAsia" w:cstheme="minorEastAsia"/>
                <w:lang/>
              </w:rPr>
            </w:pP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 xml:space="preserve">      1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．带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*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内容为必填项。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 xml:space="preserve">   </w:t>
            </w:r>
          </w:p>
          <w:p w:rsidR="005566DD" w:rsidRDefault="00170F9B">
            <w:pPr>
              <w:widowControl/>
              <w:ind w:firstLineChars="150" w:firstLine="27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 xml:space="preserve">   2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．课程简介字数为</w:t>
            </w:r>
            <w:r>
              <w:rPr>
                <w:rStyle w:val="font21"/>
                <w:rFonts w:asciiTheme="minorEastAsia" w:hAnsiTheme="minorEastAsia" w:cstheme="minorEastAsia" w:hint="eastAsia"/>
                <w:lang/>
              </w:rPr>
              <w:t>300-500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/>
              </w:rPr>
              <w:t>字；课程大纲以表述清楚教学安排为宜，字数不限。</w:t>
            </w:r>
          </w:p>
        </w:tc>
      </w:tr>
    </w:tbl>
    <w:p w:rsidR="005566DD" w:rsidRDefault="005566DD">
      <w:pPr>
        <w:rPr>
          <w:rFonts w:ascii="Times New Roman" w:hAnsi="Times New Roman" w:cs="Times New Roman"/>
        </w:rPr>
      </w:pPr>
    </w:p>
    <w:sectPr w:rsidR="005566DD" w:rsidSect="0055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F9B" w:rsidRDefault="00170F9B" w:rsidP="00355CBE">
      <w:r>
        <w:separator/>
      </w:r>
    </w:p>
  </w:endnote>
  <w:endnote w:type="continuationSeparator" w:id="0">
    <w:p w:rsidR="00170F9B" w:rsidRDefault="00170F9B" w:rsidP="0035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F9B" w:rsidRDefault="00170F9B" w:rsidP="00355CBE">
      <w:r>
        <w:separator/>
      </w:r>
    </w:p>
  </w:footnote>
  <w:footnote w:type="continuationSeparator" w:id="0">
    <w:p w:rsidR="00170F9B" w:rsidRDefault="00170F9B" w:rsidP="00355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68BC780D"/>
    <w:rsid w:val="FF1FA439"/>
    <w:rsid w:val="FF6D726B"/>
    <w:rsid w:val="FFB8C622"/>
    <w:rsid w:val="00152AC1"/>
    <w:rsid w:val="00170F9B"/>
    <w:rsid w:val="00355CBE"/>
    <w:rsid w:val="004862DE"/>
    <w:rsid w:val="005340F8"/>
    <w:rsid w:val="005566DD"/>
    <w:rsid w:val="007C234D"/>
    <w:rsid w:val="00A971AE"/>
    <w:rsid w:val="00D20824"/>
    <w:rsid w:val="00E66494"/>
    <w:rsid w:val="00F73ECF"/>
    <w:rsid w:val="00FD054C"/>
    <w:rsid w:val="00FD2284"/>
    <w:rsid w:val="20FA40FF"/>
    <w:rsid w:val="25724ACC"/>
    <w:rsid w:val="358D3E88"/>
    <w:rsid w:val="3DC77E8C"/>
    <w:rsid w:val="55202621"/>
    <w:rsid w:val="5F054C16"/>
    <w:rsid w:val="68BC780D"/>
    <w:rsid w:val="68EF671E"/>
    <w:rsid w:val="6AF25C2C"/>
    <w:rsid w:val="6FEAD335"/>
    <w:rsid w:val="75D5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endnote text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6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566D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qFormat/>
    <w:rsid w:val="005566DD"/>
    <w:pPr>
      <w:snapToGrid w:val="0"/>
      <w:jc w:val="left"/>
    </w:pPr>
  </w:style>
  <w:style w:type="paragraph" w:styleId="a4">
    <w:name w:val="footer"/>
    <w:basedOn w:val="a"/>
    <w:qFormat/>
    <w:rsid w:val="00556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5566DD"/>
  </w:style>
  <w:style w:type="character" w:styleId="a6">
    <w:name w:val="Emphasis"/>
    <w:basedOn w:val="a0"/>
    <w:qFormat/>
    <w:rsid w:val="005566DD"/>
    <w:rPr>
      <w:i/>
    </w:rPr>
  </w:style>
  <w:style w:type="character" w:styleId="a7">
    <w:name w:val="Hyperlink"/>
    <w:qFormat/>
    <w:rsid w:val="005566DD"/>
    <w:rPr>
      <w:color w:val="0000FF"/>
      <w:u w:val="single"/>
    </w:rPr>
  </w:style>
  <w:style w:type="character" w:customStyle="1" w:styleId="font71">
    <w:name w:val="font71"/>
    <w:basedOn w:val="a0"/>
    <w:qFormat/>
    <w:rsid w:val="005566DD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5566DD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5566DD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5566D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5566DD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5566D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5566DD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8">
    <w:name w:val="header"/>
    <w:basedOn w:val="a"/>
    <w:link w:val="Char"/>
    <w:rsid w:val="00355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55C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8</cp:revision>
  <dcterms:created xsi:type="dcterms:W3CDTF">2020-09-05T00:28:00Z</dcterms:created>
  <dcterms:modified xsi:type="dcterms:W3CDTF">2023-03-17T04:49:00Z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4F3E696C1A124297952A21239585E076</vt:lpwstr>
  </property>
</Properties>
</file>